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BC76A7">
        <w:rPr>
          <w:sz w:val="28"/>
        </w:rPr>
        <w:t>Zahlenstrahl</w:t>
      </w:r>
    </w:p>
    <w:p w:rsidR="00694A63" w:rsidRPr="00694A63" w:rsidRDefault="00694A63">
      <w:pPr>
        <w:pStyle w:val="IQB-Teilaufgabentitel"/>
        <w:rPr>
          <w:b/>
        </w:rPr>
      </w:pPr>
      <w:r w:rsidRPr="00694A63">
        <w:rPr>
          <w:b/>
        </w:rPr>
        <w:t>Merkmale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BC76A7" w:rsidTr="00BC76A7">
        <w:tc>
          <w:tcPr>
            <w:tcW w:w="2466" w:type="dxa"/>
            <w:tcBorders>
              <w:top w:val="single" w:sz="4" w:space="0" w:color="auto"/>
            </w:tcBorders>
            <w:vAlign w:val="center"/>
          </w:tcPr>
          <w:p w:rsidR="00BC76A7" w:rsidRDefault="00BC76A7" w:rsidP="00C350B6">
            <w:pPr>
              <w:pStyle w:val="IQB-Merkmal"/>
            </w:pPr>
            <w:r>
              <w:t>Leitidee</w:t>
            </w:r>
          </w:p>
        </w:tc>
        <w:tc>
          <w:tcPr>
            <w:tcW w:w="6604" w:type="dxa"/>
            <w:tcBorders>
              <w:top w:val="single" w:sz="4" w:space="0" w:color="auto"/>
            </w:tcBorders>
          </w:tcPr>
          <w:p w:rsidR="00BC76A7" w:rsidRDefault="00BC76A7" w:rsidP="00C350B6">
            <w:pPr>
              <w:pStyle w:val="IQB-Merkmalswert"/>
            </w:pPr>
            <w:r>
              <w:t>1. Zahl</w:t>
            </w:r>
          </w:p>
        </w:tc>
      </w:tr>
      <w:tr w:rsidR="00BC76A7" w:rsidTr="00BC76A7">
        <w:tc>
          <w:tcPr>
            <w:tcW w:w="2466" w:type="dxa"/>
            <w:vAlign w:val="center"/>
          </w:tcPr>
          <w:p w:rsidR="00BC76A7" w:rsidRDefault="00BC76A7" w:rsidP="00C350B6">
            <w:pPr>
              <w:pStyle w:val="IQB-Merkmal"/>
            </w:pPr>
            <w:r>
              <w:t>Allgemeine Kompetenz</w:t>
            </w:r>
          </w:p>
        </w:tc>
        <w:tc>
          <w:tcPr>
            <w:tcW w:w="6604" w:type="dxa"/>
          </w:tcPr>
          <w:p w:rsidR="00BC76A7" w:rsidRDefault="00BC76A7" w:rsidP="00C350B6">
            <w:pPr>
              <w:pStyle w:val="IQB-Merkmalswert"/>
            </w:pPr>
            <w:r w:rsidRPr="00ED3CDC">
              <w:t>Mathematische Darstellungen verwenden (K4)</w:t>
            </w:r>
          </w:p>
        </w:tc>
      </w:tr>
      <w:tr w:rsidR="00BC76A7" w:rsidTr="00BC76A7">
        <w:tc>
          <w:tcPr>
            <w:tcW w:w="2466" w:type="dxa"/>
            <w:vAlign w:val="center"/>
          </w:tcPr>
          <w:p w:rsidR="00BC76A7" w:rsidRDefault="00BC76A7" w:rsidP="00C350B6">
            <w:pPr>
              <w:pStyle w:val="IQB-Merkmal"/>
            </w:pPr>
            <w:r>
              <w:t>Anforderungsbereich</w:t>
            </w:r>
          </w:p>
        </w:tc>
        <w:tc>
          <w:tcPr>
            <w:tcW w:w="6604" w:type="dxa"/>
          </w:tcPr>
          <w:p w:rsidR="00BC76A7" w:rsidRDefault="00BC76A7" w:rsidP="00C350B6">
            <w:pPr>
              <w:pStyle w:val="IQB-Merkmalswert"/>
            </w:pPr>
            <w:r>
              <w:t>I</w:t>
            </w:r>
          </w:p>
        </w:tc>
      </w:tr>
      <w:tr w:rsidR="00BC76A7" w:rsidTr="00BC76A7">
        <w:tc>
          <w:tcPr>
            <w:tcW w:w="2466" w:type="dxa"/>
            <w:tcBorders>
              <w:bottom w:val="single" w:sz="4" w:space="0" w:color="auto"/>
            </w:tcBorders>
            <w:vAlign w:val="center"/>
          </w:tcPr>
          <w:p w:rsidR="00BC76A7" w:rsidRDefault="00BC76A7" w:rsidP="00C350B6">
            <w:pPr>
              <w:pStyle w:val="IQB-Merkmal"/>
            </w:pPr>
            <w:r>
              <w:t>Kompetenzstufe</w:t>
            </w:r>
          </w:p>
        </w:tc>
        <w:tc>
          <w:tcPr>
            <w:tcW w:w="6604" w:type="dxa"/>
            <w:tcBorders>
              <w:bottom w:val="single" w:sz="4" w:space="0" w:color="auto"/>
            </w:tcBorders>
          </w:tcPr>
          <w:p w:rsidR="00BC76A7" w:rsidRDefault="00BC76A7" w:rsidP="00C350B6">
            <w:pPr>
              <w:pStyle w:val="IQB-Merkmalswert"/>
            </w:pPr>
            <w:r>
              <w:t>1a</w:t>
            </w:r>
          </w:p>
        </w:tc>
      </w:tr>
    </w:tbl>
    <w:p w:rsidR="00694A63" w:rsidRPr="00694A63" w:rsidRDefault="00694A63">
      <w:pPr>
        <w:pStyle w:val="IQB-Teilaufgabentitel"/>
        <w:rPr>
          <w:b/>
        </w:rPr>
      </w:pPr>
      <w:r w:rsidRPr="00694A63">
        <w:rPr>
          <w:b/>
        </w:rPr>
        <w:t>Merkmale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BC76A7" w:rsidTr="00BC76A7">
        <w:tc>
          <w:tcPr>
            <w:tcW w:w="2466" w:type="dxa"/>
            <w:tcBorders>
              <w:top w:val="single" w:sz="4" w:space="0" w:color="auto"/>
            </w:tcBorders>
            <w:vAlign w:val="center"/>
          </w:tcPr>
          <w:p w:rsidR="00BC76A7" w:rsidRDefault="00BC76A7" w:rsidP="00C350B6">
            <w:pPr>
              <w:pStyle w:val="IQB-Merkmal"/>
            </w:pPr>
            <w:r>
              <w:t>Leitidee</w:t>
            </w:r>
          </w:p>
        </w:tc>
        <w:tc>
          <w:tcPr>
            <w:tcW w:w="6604" w:type="dxa"/>
            <w:tcBorders>
              <w:top w:val="single" w:sz="4" w:space="0" w:color="auto"/>
            </w:tcBorders>
          </w:tcPr>
          <w:p w:rsidR="00BC76A7" w:rsidRDefault="00BC76A7" w:rsidP="00C350B6">
            <w:pPr>
              <w:pStyle w:val="IQB-Merkmalswert"/>
            </w:pPr>
            <w:r>
              <w:t>1. Zahl</w:t>
            </w:r>
          </w:p>
        </w:tc>
      </w:tr>
      <w:tr w:rsidR="00BC76A7" w:rsidTr="00BC76A7">
        <w:tc>
          <w:tcPr>
            <w:tcW w:w="2466" w:type="dxa"/>
            <w:vAlign w:val="center"/>
          </w:tcPr>
          <w:p w:rsidR="00BC76A7" w:rsidRDefault="00BC76A7" w:rsidP="00C350B6">
            <w:pPr>
              <w:pStyle w:val="IQB-Merkmal"/>
            </w:pPr>
            <w:r>
              <w:t>Allgemeine Kompetenz</w:t>
            </w:r>
          </w:p>
        </w:tc>
        <w:tc>
          <w:tcPr>
            <w:tcW w:w="6604" w:type="dxa"/>
          </w:tcPr>
          <w:p w:rsidR="00BC76A7" w:rsidRDefault="00BC76A7" w:rsidP="00C350B6">
            <w:pPr>
              <w:pStyle w:val="IQB-Merkmalswert"/>
            </w:pPr>
            <w:r w:rsidRPr="00ED3CDC">
              <w:t>Mathematische Darstellungen verwenden (K4)</w:t>
            </w:r>
          </w:p>
        </w:tc>
      </w:tr>
      <w:tr w:rsidR="00BC76A7" w:rsidTr="00BC76A7">
        <w:tc>
          <w:tcPr>
            <w:tcW w:w="2466" w:type="dxa"/>
            <w:vAlign w:val="center"/>
          </w:tcPr>
          <w:p w:rsidR="00BC76A7" w:rsidRDefault="00BC76A7" w:rsidP="00C350B6">
            <w:pPr>
              <w:pStyle w:val="IQB-Merkmal"/>
            </w:pPr>
            <w:r>
              <w:t>Anforderungsbereich</w:t>
            </w:r>
          </w:p>
        </w:tc>
        <w:tc>
          <w:tcPr>
            <w:tcW w:w="6604" w:type="dxa"/>
          </w:tcPr>
          <w:p w:rsidR="00BC76A7" w:rsidRDefault="00BC76A7" w:rsidP="00C350B6">
            <w:pPr>
              <w:pStyle w:val="IQB-Merkmalswert"/>
            </w:pPr>
            <w:r>
              <w:t>I</w:t>
            </w:r>
          </w:p>
        </w:tc>
      </w:tr>
      <w:tr w:rsidR="00BC76A7" w:rsidTr="00BC76A7">
        <w:tc>
          <w:tcPr>
            <w:tcW w:w="2466" w:type="dxa"/>
            <w:tcBorders>
              <w:bottom w:val="single" w:sz="4" w:space="0" w:color="auto"/>
            </w:tcBorders>
            <w:vAlign w:val="center"/>
          </w:tcPr>
          <w:p w:rsidR="00BC76A7" w:rsidRDefault="00BC76A7" w:rsidP="00C350B6">
            <w:pPr>
              <w:pStyle w:val="IQB-Merkmal"/>
            </w:pPr>
            <w:r>
              <w:t>Kompetenzstufe</w:t>
            </w:r>
          </w:p>
        </w:tc>
        <w:tc>
          <w:tcPr>
            <w:tcW w:w="6604" w:type="dxa"/>
            <w:tcBorders>
              <w:bottom w:val="single" w:sz="4" w:space="0" w:color="auto"/>
            </w:tcBorders>
          </w:tcPr>
          <w:p w:rsidR="00BC76A7" w:rsidRDefault="00BC76A7" w:rsidP="00C350B6">
            <w:pPr>
              <w:pStyle w:val="IQB-Merkmalswert"/>
            </w:pPr>
            <w:r>
              <w:t>3</w:t>
            </w:r>
          </w:p>
        </w:tc>
      </w:tr>
    </w:tbl>
    <w:p w:rsidR="00694A63" w:rsidRPr="00694A63" w:rsidRDefault="00694A63" w:rsidP="00694A63">
      <w:pPr>
        <w:pStyle w:val="IQB-Teilaufgabentitel"/>
        <w:rPr>
          <w:b/>
        </w:rPr>
      </w:pPr>
      <w:r w:rsidRPr="00694A63">
        <w:rPr>
          <w:b/>
        </w:rPr>
        <w:t>Aufgabenbezogener Kommentar</w:t>
      </w:r>
    </w:p>
    <w:p w:rsidR="00BC76A7" w:rsidRPr="0092138C" w:rsidRDefault="00BC76A7" w:rsidP="00BC76A7">
      <w:pPr>
        <w:pStyle w:val="IQB-Standard"/>
        <w:rPr>
          <w:sz w:val="22"/>
          <w:szCs w:val="22"/>
        </w:rPr>
      </w:pPr>
      <w:r w:rsidRPr="0092138C">
        <w:rPr>
          <w:sz w:val="22"/>
          <w:szCs w:val="22"/>
        </w:rPr>
        <w:t xml:space="preserve">Beide Teilaufgaben werden der Leitidee Zahl (L1) zugeordnet, weil es hier um die graphische Darstellung von Zahlen auf dem Zahlenstrahl geht. </w:t>
      </w:r>
    </w:p>
    <w:p w:rsidR="00BC76A7" w:rsidRPr="0092138C" w:rsidRDefault="00BC76A7" w:rsidP="00BC76A7">
      <w:pPr>
        <w:pStyle w:val="IQB-Standard"/>
        <w:rPr>
          <w:sz w:val="22"/>
          <w:szCs w:val="22"/>
        </w:rPr>
      </w:pPr>
      <w:r w:rsidRPr="0092138C">
        <w:rPr>
          <w:sz w:val="22"/>
          <w:szCs w:val="22"/>
        </w:rPr>
        <w:t>In der ersten Teilaufgabe sollen die Schülerinnen und Schüler eine durch einen Pfeil markierte Zahl ablesen und in der zweiten Teilaufgabe umgekehrt eine vorgegebene Zahl auf dem Zahlenstrahl markieren (K4).</w:t>
      </w:r>
    </w:p>
    <w:p w:rsidR="00BC76A7" w:rsidRPr="00BC76A7" w:rsidRDefault="00BC76A7" w:rsidP="00BC76A7">
      <w:pPr>
        <w:spacing w:before="60"/>
        <w:rPr>
          <w:rFonts w:ascii="Arial" w:hAnsi="Arial" w:cs="Arial"/>
          <w:sz w:val="22"/>
          <w:szCs w:val="22"/>
        </w:rPr>
      </w:pPr>
      <w:r w:rsidRPr="00BC76A7">
        <w:rPr>
          <w:rFonts w:ascii="Arial" w:hAnsi="Arial" w:cs="Arial"/>
          <w:sz w:val="22"/>
          <w:szCs w:val="22"/>
        </w:rPr>
        <w:t>Es handelt sich hierbei jeweils um Anforderungsbereich I, weil die durchzuführenden Wechsel zwischen den Darstellungsformen den Schülerinnen und Schüler geläufig und vertraut sind.</w:t>
      </w:r>
    </w:p>
    <w:p w:rsidR="00694A63" w:rsidRPr="00694A63" w:rsidRDefault="00694A63" w:rsidP="00694A63">
      <w:pPr>
        <w:pStyle w:val="IQB-Teilaufgabentitel"/>
        <w:rPr>
          <w:b/>
        </w:rPr>
      </w:pPr>
      <w:r w:rsidRPr="00694A63">
        <w:rPr>
          <w:b/>
        </w:rPr>
        <w:t>Anregungen für den Unterricht</w:t>
      </w:r>
    </w:p>
    <w:p w:rsidR="00BC76A7" w:rsidRPr="00BC76A7" w:rsidRDefault="00BC76A7" w:rsidP="00BC76A7">
      <w:pPr>
        <w:spacing w:before="60"/>
        <w:rPr>
          <w:rFonts w:ascii="Arial" w:hAnsi="Arial"/>
          <w:sz w:val="22"/>
          <w:szCs w:val="22"/>
        </w:rPr>
      </w:pPr>
      <w:r w:rsidRPr="00BC76A7">
        <w:rPr>
          <w:rFonts w:ascii="Arial" w:hAnsi="Arial"/>
          <w:sz w:val="22"/>
          <w:szCs w:val="22"/>
        </w:rPr>
        <w:t>In dieser Aufgabe besteht die Schwierigkeit darin, dass eine Einheit auf dem Zahlenstrahl nicht für eine tatsächliche Längeneinheit steht (es gilt nicht: Ein Kästchen oder ein Zentimeter gleich eine Längeneinheit).</w:t>
      </w:r>
    </w:p>
    <w:p w:rsidR="00BC76A7" w:rsidRPr="00BC76A7" w:rsidRDefault="00BC76A7" w:rsidP="00BC76A7">
      <w:pPr>
        <w:spacing w:before="60"/>
        <w:rPr>
          <w:rFonts w:ascii="Arial" w:hAnsi="Arial"/>
          <w:sz w:val="22"/>
          <w:szCs w:val="22"/>
        </w:rPr>
      </w:pPr>
      <w:r w:rsidRPr="00BC76A7">
        <w:rPr>
          <w:rFonts w:ascii="Arial" w:hAnsi="Arial"/>
          <w:sz w:val="22"/>
          <w:szCs w:val="22"/>
        </w:rPr>
        <w:t>Anknüpfend an die hier gestellte Aufgabe können Schülerinnen und Schüler mit ähnlichen Zahlenstrahlen und Koordinatensystemen konfrontiert werden, bei denen die genannten Einheiten nicht deckungsgleich sind.</w:t>
      </w:r>
    </w:p>
    <w:p w:rsidR="00BC76A7" w:rsidRPr="00BC76A7" w:rsidRDefault="00BC76A7" w:rsidP="00BC76A7">
      <w:pPr>
        <w:spacing w:before="60"/>
        <w:rPr>
          <w:rFonts w:ascii="Arial" w:hAnsi="Arial"/>
          <w:sz w:val="22"/>
          <w:szCs w:val="22"/>
        </w:rPr>
      </w:pPr>
      <w:r w:rsidRPr="00BC76A7">
        <w:rPr>
          <w:rFonts w:ascii="Arial" w:hAnsi="Arial"/>
          <w:sz w:val="22"/>
          <w:szCs w:val="22"/>
        </w:rPr>
        <w:t>Im Anschluss daran können solche Zahlenstrahlen oder Koordinatensysteme verwendet werden, bei denen nicht abstrakte Längeneinheiten abgetragen werden, sondern die Werte auf den Achsen für konkrete Größenangaben (z. B. Zeiten) stehen.</w:t>
      </w:r>
    </w:p>
    <w:p w:rsidR="00BC76A7" w:rsidRPr="00BC76A7" w:rsidRDefault="00BC76A7" w:rsidP="00BC76A7">
      <w:pPr>
        <w:spacing w:before="60"/>
        <w:rPr>
          <w:rFonts w:ascii="Arial" w:hAnsi="Arial"/>
          <w:sz w:val="22"/>
          <w:szCs w:val="22"/>
        </w:rPr>
      </w:pPr>
      <w:r w:rsidRPr="00BC76A7">
        <w:rPr>
          <w:rFonts w:ascii="Arial" w:hAnsi="Arial"/>
          <w:sz w:val="22"/>
          <w:szCs w:val="22"/>
        </w:rPr>
        <w:t>Die zweite Teilaufgabe deutet an, wie man im Unterricht Zahlenstrahlen mit der Bruchrechnung verknüpfen kann. Hier kann der Bruch als Teil eines abstrakten Ganzen oder als Skalenwert interpretiert werden. Mit Zahlenstrahlen lassen sich Addition und Subtraktion gleichnamiger Brüche, sowie die Multiplikation mit einer natürlichen Zahl leicht visualisieren.</w:t>
      </w:r>
    </w:p>
    <w:p w:rsidR="00694A63" w:rsidRPr="007E6CC0" w:rsidRDefault="00BC76A7" w:rsidP="00BC76A7">
      <w:pPr>
        <w:spacing w:before="60"/>
        <w:rPr>
          <w:rFonts w:ascii="Arial" w:hAnsi="Arial"/>
          <w:sz w:val="22"/>
          <w:szCs w:val="22"/>
        </w:rPr>
      </w:pPr>
      <w:r w:rsidRPr="00BC76A7">
        <w:rPr>
          <w:rFonts w:ascii="Arial" w:hAnsi="Arial"/>
          <w:sz w:val="22"/>
          <w:szCs w:val="22"/>
        </w:rPr>
        <w:t>Sinnvoll ist es in diesem Zusammenhang, über Stützpunktvorstellungen zu Brüchen eine Zahlvorstellung aufzubauen und Kontrollstrategien zu entwick</w:t>
      </w:r>
      <w:bookmarkStart w:id="0" w:name="_GoBack"/>
      <w:bookmarkEnd w:id="0"/>
      <w:r w:rsidRPr="00BC76A7">
        <w:rPr>
          <w:rFonts w:ascii="Arial" w:hAnsi="Arial"/>
          <w:sz w:val="22"/>
          <w:szCs w:val="22"/>
        </w:rPr>
        <w:t>eln.</w:t>
      </w:r>
    </w:p>
    <w:sectPr w:rsidR="00694A63" w:rsidRPr="007E6C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404DC15C-A369-415C-9417-AC327ACFB79A}"/>
    <w:embedBold r:id="rId2" w:fontKey="{9BB9D70B-FFFA-421B-83A4-A8635B2D7591}"/>
    <w:embedBoldItalic r:id="rId3" w:fontKey="{70D6DAE0-ABFF-46E1-A629-F09F33C24136}"/>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8136A"/>
    <w:rsid w:val="00BC76A7"/>
    <w:rsid w:val="00BE7001"/>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o:shapelayout v:ext="edit">
      <o:idmap v:ext="edit" data="1"/>
    </o:shapelayout>
  </w:shapeDefaults>
  <w:decimalSymbol w:val=","/>
  <w:listSeparator w:val=";"/>
  <w14:docId w14:val="4204CABA"/>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83AB88-3D6B-465A-829A-E2E3DF94C4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266</Words>
  <Characters>1830</Characters>
  <Application>Microsoft Office Word</Application>
  <DocSecurity>0</DocSecurity>
  <Lines>44</Lines>
  <Paragraphs>32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2025-05-22T13:14:00Z</dcterms:created>
  <dcterms:modified xsi:type="dcterms:W3CDTF">2025-05-22T13:14:00Z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